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LIMITED LATE MODEL RULES: (2024 CCS CHRISTMAS CLASH)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(BY THE 2024 NASCAR RULE BOOK WITH THE FOLLOWING EXCEPTIONS)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OVERALL CAR WEIGHT (total/right side) - CARB requirements: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GM 602 crate: (3000/1300) 390 4bbl / any 1” alum spacer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 (3025/1325) 650 4bbl / any 1” alum spacer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GM 603/ZZ4 crate: (3000/1300) 390 4bbl / any 1” alum spacer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        (3025/1325) 650 4bbl / any 1” alum spacer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Ford 347 JR crate: (3000/1300) 390 4bbl / any 1” alum spacer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        (3025/1325) 650 4bbl / any 1” alum spacer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GM 604 crate: (3050/1350) 500 2bbl HPX or Ultra/ any .75” alum spacer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Dillon 70cc: (3075/1350) 500 2bbl HPX or Ultra / any .75” alum spacer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LMSC Built (Steel Head): (3050/1350) 450 carb (</w:t>
      </w:r>
      <w:r w:rsidDel="00000000" w:rsidR="00000000" w:rsidRPr="00000000">
        <w:rPr>
          <w:highlight w:val="yellow"/>
          <w:rtl w:val="0"/>
        </w:rPr>
        <w:t xml:space="preserve">*see clarification below)</w:t>
      </w:r>
      <w:r w:rsidDel="00000000" w:rsidR="00000000" w:rsidRPr="00000000">
        <w:rPr>
          <w:rtl w:val="0"/>
        </w:rPr>
        <w:t xml:space="preserve">/ 350 adapter (.75” 2 hole non tapered spacer)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7. Chevy Spec Upgrade: (3125/1415) 350 carb / 350 adapter/  </w:t>
      </w:r>
      <w:r w:rsidDel="00000000" w:rsidR="00000000" w:rsidRPr="00000000">
        <w:rPr>
          <w:highlight w:val="yellow"/>
          <w:rtl w:val="0"/>
        </w:rPr>
        <w:t xml:space="preserve">.75” 2 hole non tapered spacer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8. Ford 347 SR crate: (3100/1400) 450 carb / 350 adapter / .75” 2 hole non tapered spacer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 HMS Enforcer: (3100/1400) 450 carb / 350 adapter / .75” 2 hole non tapered spacer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*Clarification: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450 Carb is the “Old Style” 4412 Top with Choke Horn and 350 Throttle Plate with Blend Rings. This is the ONLY 450 ALLOWED— NO modifications permitted outside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NASCAR Tech Specs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SHOCKS / BUMP STOPS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Shocks and Bump Stops will be permitted in accordance with the 2023   NASCAR RULE BOOK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In addition, AFCO and PRO shocks will be legal WITHOUT BASE VALVES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FOR ALL QUESTIONS CONTACT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LINDBERG SMITH 910-880-5196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IF HE IS NOT AVAILABLE BY PHONE, LEAVE A BRIEF VOICE MESSAGE OR SEND BRIEF TEXT &amp; HE WILL CALL YOU BACK (per Lindberg)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1ch+E1bLk3SSuxSrKncmR/B+aA==">CgMxLjA4AHIhMXV1YkRnSHRLWUNIdFl5a0ZSdUFzTXdDX2p0MGppakJk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